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B98" w:rsidRDefault="00FF7D0B" w:rsidP="00866B98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Миронова И.А.</w:t>
      </w:r>
      <w:r w:rsidR="00866B98">
        <w:rPr>
          <w:b/>
          <w:sz w:val="28"/>
          <w:szCs w:val="28"/>
        </w:rPr>
        <w:t xml:space="preserve"> </w:t>
      </w:r>
    </w:p>
    <w:p w:rsidR="00866B98" w:rsidRDefault="00FF7D0B" w:rsidP="00866B98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Москва</w:t>
      </w:r>
      <w:r w:rsidR="00866B98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ФИЦ ИУ РАН</w:t>
      </w:r>
    </w:p>
    <w:p w:rsidR="00866B98" w:rsidRPr="004E08D4" w:rsidRDefault="00FF7D0B" w:rsidP="00866B98">
      <w:pPr>
        <w:spacing w:after="0" w:line="240" w:lineRule="auto"/>
        <w:ind w:firstLine="709"/>
        <w:jc w:val="right"/>
        <w:rPr>
          <w:sz w:val="28"/>
          <w:szCs w:val="28"/>
        </w:rPr>
      </w:pPr>
      <w:proofErr w:type="spellStart"/>
      <w:r>
        <w:rPr>
          <w:rStyle w:val="ad"/>
          <w:color w:val="auto"/>
          <w:sz w:val="28"/>
          <w:szCs w:val="28"/>
          <w:u w:val="none"/>
          <w:lang w:val="en-US"/>
        </w:rPr>
        <w:t>makbat</w:t>
      </w:r>
      <w:proofErr w:type="spellEnd"/>
      <w:r w:rsidR="00866B98" w:rsidRPr="004E08D4">
        <w:rPr>
          <w:rStyle w:val="ad"/>
          <w:color w:val="auto"/>
          <w:sz w:val="28"/>
          <w:szCs w:val="28"/>
          <w:u w:val="none"/>
        </w:rPr>
        <w:t>@</w:t>
      </w:r>
      <w:r>
        <w:rPr>
          <w:rStyle w:val="ad"/>
          <w:color w:val="auto"/>
          <w:sz w:val="28"/>
          <w:szCs w:val="28"/>
          <w:u w:val="none"/>
          <w:lang w:val="en-US"/>
        </w:rPr>
        <w:t>mail</w:t>
      </w:r>
      <w:r w:rsidR="00866B98" w:rsidRPr="004E08D4">
        <w:rPr>
          <w:rStyle w:val="ad"/>
          <w:color w:val="auto"/>
          <w:sz w:val="28"/>
          <w:szCs w:val="28"/>
          <w:u w:val="none"/>
        </w:rPr>
        <w:t>.</w:t>
      </w:r>
      <w:proofErr w:type="spellStart"/>
      <w:r w:rsidR="00866B98" w:rsidRPr="004E08D4">
        <w:rPr>
          <w:rStyle w:val="ad"/>
          <w:color w:val="auto"/>
          <w:sz w:val="28"/>
          <w:szCs w:val="28"/>
          <w:u w:val="none"/>
        </w:rPr>
        <w:t>ru</w:t>
      </w:r>
      <w:proofErr w:type="spellEnd"/>
    </w:p>
    <w:p w:rsidR="00866B98" w:rsidRDefault="00866B98" w:rsidP="00866B98">
      <w:pPr>
        <w:spacing w:after="0" w:line="240" w:lineRule="auto"/>
        <w:jc w:val="center"/>
        <w:rPr>
          <w:i/>
          <w:sz w:val="28"/>
          <w:szCs w:val="28"/>
        </w:rPr>
      </w:pPr>
    </w:p>
    <w:p w:rsidR="00866B98" w:rsidRDefault="00FF7D0B" w:rsidP="00866B98">
      <w:pPr>
        <w:spacing w:after="0" w:line="240" w:lineRule="auto"/>
        <w:jc w:val="center"/>
        <w:rPr>
          <w:b/>
          <w:sz w:val="28"/>
          <w:szCs w:val="28"/>
        </w:rPr>
      </w:pPr>
      <w:r w:rsidRPr="00965AB0">
        <w:rPr>
          <w:rFonts w:ascii="TimesNewRoman" w:hAnsi="TimesNewRoman" w:cs="TimesNewRoman"/>
          <w:b/>
          <w:sz w:val="28"/>
          <w:szCs w:val="28"/>
        </w:rPr>
        <w:t xml:space="preserve">ОЦЕНКА </w:t>
      </w:r>
      <w:r>
        <w:rPr>
          <w:rFonts w:ascii="TimesNewRoman" w:hAnsi="TimesNewRoman" w:cs="TimesNewRoman"/>
          <w:b/>
          <w:sz w:val="28"/>
          <w:szCs w:val="28"/>
        </w:rPr>
        <w:t>ЭФФЕКТИВНОСТИ ПРОЕКТОВ МОДЕРНИЗАЦИИ И РАСШИРЕНИЯ ТРАНСПОРТНОЙ ИНФРАСТРУКТУРЫ</w:t>
      </w:r>
    </w:p>
    <w:p w:rsidR="00866B98" w:rsidRPr="001D6213" w:rsidRDefault="00866B98" w:rsidP="001D6213">
      <w:pPr>
        <w:spacing w:after="0" w:line="240" w:lineRule="auto"/>
        <w:jc w:val="center"/>
        <w:rPr>
          <w:i/>
          <w:sz w:val="28"/>
          <w:szCs w:val="28"/>
        </w:rPr>
      </w:pPr>
    </w:p>
    <w:p w:rsidR="00866B98" w:rsidRPr="001D6213" w:rsidRDefault="00866B98" w:rsidP="001D6213">
      <w:pPr>
        <w:spacing w:after="0" w:line="240" w:lineRule="auto"/>
        <w:jc w:val="center"/>
        <w:rPr>
          <w:i/>
          <w:szCs w:val="28"/>
        </w:rPr>
      </w:pPr>
      <w:r w:rsidRPr="001D6213">
        <w:rPr>
          <w:i/>
          <w:szCs w:val="28"/>
        </w:rPr>
        <w:t xml:space="preserve">Исследование подготовлено при финансовой поддержке РФФИ, </w:t>
      </w:r>
      <w:r w:rsidR="001D6213">
        <w:rPr>
          <w:i/>
          <w:szCs w:val="28"/>
        </w:rPr>
        <w:br/>
      </w:r>
      <w:proofErr w:type="gramStart"/>
      <w:r w:rsidRPr="001D6213">
        <w:rPr>
          <w:i/>
          <w:szCs w:val="28"/>
        </w:rPr>
        <w:t>проект  №</w:t>
      </w:r>
      <w:proofErr w:type="gramEnd"/>
      <w:r w:rsidR="00FF7D0B" w:rsidRPr="001D6213">
        <w:rPr>
          <w:i/>
          <w:szCs w:val="28"/>
        </w:rPr>
        <w:t>20-010-00135</w:t>
      </w:r>
      <w:r w:rsidRPr="001D6213">
        <w:rPr>
          <w:i/>
          <w:szCs w:val="28"/>
        </w:rPr>
        <w:t>.</w:t>
      </w:r>
    </w:p>
    <w:p w:rsidR="00866B98" w:rsidRDefault="00866B98" w:rsidP="00866B98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iCs/>
          <w:sz w:val="28"/>
          <w:szCs w:val="28"/>
          <w:lang w:eastAsia="en-US"/>
        </w:rPr>
        <w:t xml:space="preserve">Распоряжением Правительства  Российской Федерации от 30 сентября 2018 года №2101-р утвержден  Комплексный план модернизации и расширения магистральной инфраструктуры на период до 2024 года. </w:t>
      </w:r>
      <w:r w:rsidRPr="00972503">
        <w:rPr>
          <w:color w:val="000000"/>
          <w:sz w:val="28"/>
          <w:szCs w:val="28"/>
        </w:rPr>
        <w:t>Транспортная часть Комплексного плана состоит из девяти федеральных проектов, н</w:t>
      </w:r>
      <w:r w:rsidRPr="00972503">
        <w:rPr>
          <w:rFonts w:eastAsiaTheme="minorHAnsi"/>
          <w:sz w:val="28"/>
          <w:szCs w:val="28"/>
          <w:lang w:eastAsia="en-US"/>
        </w:rPr>
        <w:t>а реализацию которых  планируется выделить 6,4 трлн. руб., в том числе 3,3 трлн. – из федерального бюджета.</w:t>
      </w:r>
    </w:p>
    <w:p w:rsidR="00972503" w:rsidRPr="00972503" w:rsidRDefault="00972503" w:rsidP="00972503">
      <w:pPr>
        <w:shd w:val="clear" w:color="auto" w:fill="FFFFFF"/>
        <w:spacing w:after="0" w:line="240" w:lineRule="auto"/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972503">
        <w:rPr>
          <w:rFonts w:eastAsia="Arial Unicode MS"/>
          <w:color w:val="000000"/>
          <w:sz w:val="28"/>
          <w:szCs w:val="28"/>
        </w:rPr>
        <w:t>Каждый федеральный проект должен иметь, т</w:t>
      </w:r>
      <w:bookmarkStart w:id="0" w:name="_GoBack"/>
      <w:bookmarkEnd w:id="0"/>
      <w:r w:rsidRPr="00972503">
        <w:rPr>
          <w:rFonts w:eastAsia="Arial Unicode MS"/>
          <w:color w:val="000000"/>
          <w:sz w:val="28"/>
          <w:szCs w:val="28"/>
        </w:rPr>
        <w:t>ак называемый, план мероприятий, которые следует оценивать с помощью временной Методики</w:t>
      </w:r>
      <w:r w:rsidRPr="00972503">
        <w:rPr>
          <w:rFonts w:eastAsia="Arial Unicode MS"/>
          <w:color w:val="000000"/>
          <w:sz w:val="28"/>
          <w:szCs w:val="28"/>
          <w:vertAlign w:val="superscript"/>
        </w:rPr>
        <w:footnoteReference w:id="1"/>
      </w:r>
      <w:r w:rsidRPr="00972503">
        <w:rPr>
          <w:rFonts w:eastAsia="Arial Unicode MS"/>
          <w:color w:val="000000"/>
          <w:sz w:val="28"/>
          <w:szCs w:val="28"/>
        </w:rPr>
        <w:t>, разработанной Аналитическим центром при Правительстве Российской Федерации</w:t>
      </w:r>
      <w:r w:rsidRPr="00972503">
        <w:rPr>
          <w:rFonts w:eastAsia="Arial Unicode MS"/>
          <w:color w:val="000000"/>
          <w:sz w:val="28"/>
          <w:szCs w:val="28"/>
          <w:vertAlign w:val="superscript"/>
        </w:rPr>
        <w:footnoteReference w:id="2"/>
      </w:r>
      <w:r w:rsidRPr="00972503">
        <w:rPr>
          <w:rFonts w:eastAsia="Arial Unicode MS"/>
          <w:color w:val="000000"/>
          <w:sz w:val="28"/>
          <w:szCs w:val="28"/>
        </w:rPr>
        <w:t xml:space="preserve"> (Далее – Методика ранжирования).</w:t>
      </w:r>
      <w:r w:rsidRPr="00972503">
        <w:rPr>
          <w:rFonts w:eastAsia="Arial Unicode MS"/>
          <w:color w:val="000000"/>
          <w:sz w:val="22"/>
          <w:szCs w:val="22"/>
        </w:rPr>
        <w:t xml:space="preserve">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color w:val="222222"/>
          <w:sz w:val="28"/>
          <w:szCs w:val="28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По сути, оцениваемые и ранжируемые с помощью данной Методики мероприятия федерального проекта – это широкий круг постоянно </w:t>
      </w:r>
      <w:r>
        <w:rPr>
          <w:rFonts w:eastAsiaTheme="minorHAnsi"/>
          <w:sz w:val="28"/>
          <w:szCs w:val="28"/>
          <w:lang w:eastAsia="en-US"/>
        </w:rPr>
        <w:t>генерируемых</w:t>
      </w:r>
      <w:r w:rsidRPr="00972503">
        <w:rPr>
          <w:rFonts w:eastAsiaTheme="minorHAnsi"/>
          <w:sz w:val="28"/>
          <w:szCs w:val="28"/>
          <w:lang w:eastAsia="en-US"/>
        </w:rPr>
        <w:t xml:space="preserve"> предложений, сформулированных с разной степенью точности и детализации, начиная от описательного на уровне идеи и заканчивая разработанным ТЭО инвестиционного проекта. </w:t>
      </w:r>
      <w:r w:rsidRPr="00972503">
        <w:rPr>
          <w:color w:val="222222"/>
          <w:sz w:val="28"/>
          <w:szCs w:val="28"/>
        </w:rPr>
        <w:t xml:space="preserve">При подобной постановке задачи в списке могут быть сотни и даже тысячи, так называемых, мероприятий. Действительно, по данным руководства Аналитического центра, «через жернова ранжирования» прошло </w:t>
      </w:r>
      <w:r w:rsidR="00477322">
        <w:rPr>
          <w:color w:val="222222"/>
          <w:sz w:val="28"/>
          <w:szCs w:val="28"/>
        </w:rPr>
        <w:t>более</w:t>
      </w:r>
      <w:r w:rsidRPr="00972503">
        <w:rPr>
          <w:color w:val="222222"/>
          <w:sz w:val="28"/>
          <w:szCs w:val="28"/>
        </w:rPr>
        <w:t xml:space="preserve"> тысячи проектов.</w:t>
      </w:r>
      <w:r w:rsidRPr="00972503">
        <w:rPr>
          <w:color w:val="222222"/>
          <w:sz w:val="28"/>
          <w:szCs w:val="28"/>
          <w:vertAlign w:val="superscript"/>
        </w:rPr>
        <w:footnoteReference w:id="3"/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2503">
        <w:rPr>
          <w:rFonts w:eastAsia="Calibri"/>
          <w:sz w:val="28"/>
          <w:szCs w:val="28"/>
          <w:lang w:eastAsia="en-US"/>
        </w:rPr>
        <w:t>Логично предположить, что ранжирование производится на основе оценки общественной или бюджетной эффективности инвестирования в реализацию рассматриваемого мероприятия. Но об этом речи не</w:t>
      </w:r>
      <w:r>
        <w:rPr>
          <w:rFonts w:eastAsia="Calibri"/>
          <w:sz w:val="28"/>
          <w:szCs w:val="28"/>
          <w:lang w:eastAsia="en-US"/>
        </w:rPr>
        <w:t>т</w:t>
      </w:r>
      <w:r w:rsidRPr="00972503">
        <w:rPr>
          <w:rFonts w:eastAsia="Calibri"/>
          <w:sz w:val="28"/>
          <w:szCs w:val="28"/>
          <w:lang w:eastAsia="en-US"/>
        </w:rPr>
        <w:t>. По словам авторов, в основе Методики ранжирования отдельных мероприятий лежит определение вклада мероприятий в достижение целей, установленных в Указе Президента Российской Федерации от 7 мая 2018 г. № 204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72503">
        <w:rPr>
          <w:rFonts w:eastAsia="Calibri"/>
          <w:iCs/>
          <w:sz w:val="28"/>
          <w:szCs w:val="28"/>
          <w:lang w:eastAsia="en-US"/>
        </w:rPr>
        <w:t>«О национальных целях и стратегических задачах развития Российской Федерации на период до 2024 года</w:t>
      </w:r>
      <w:r>
        <w:rPr>
          <w:rFonts w:eastAsia="Calibri"/>
          <w:iCs/>
          <w:sz w:val="28"/>
          <w:szCs w:val="28"/>
          <w:lang w:eastAsia="en-US"/>
        </w:rPr>
        <w:t>»</w:t>
      </w:r>
      <w:r w:rsidRPr="00972503">
        <w:rPr>
          <w:rFonts w:eastAsia="Calibri"/>
          <w:sz w:val="28"/>
          <w:szCs w:val="28"/>
          <w:lang w:eastAsia="en-US"/>
        </w:rPr>
        <w:t xml:space="preserve">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lastRenderedPageBreak/>
        <w:t>Отбор мероприятий производится на основании суммарной балльной экспертной оценки, которая носит по большей части субъективный характер и меняется в зависимости от состава оцениваемых мероприятий. Такая методика с некоторыми корректировками в формулировках может применяться при отборе мероприятий для финансирования, например, в сфере культуры (мероприятия по запуску фильмов в производство, реконструкции зданий театров, музеев и т.п.), при ранжировании инноваций для реализации на стадии разработки или промышленного производства в условиях ограниченности ресурсов. Но она совершенно не актуальна для проектов развития сетевой магистральной инфраструктуры, которые нельзя рассматривать по отдельности, как нельзя считать эффективность развития отдельных звеньев без учета состояния и развития всех звеньев сети (участков железной дороги, станций, подъездных путях и т.д.).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Постановлением Правительства Российской Федерации от 26 ноября 2019 года №1512 утвержден другой документ – «Методика </w:t>
      </w:r>
      <w:r w:rsidRPr="00972503">
        <w:rPr>
          <w:rFonts w:eastAsiaTheme="minorHAnsi"/>
          <w:bCs/>
          <w:sz w:val="28"/>
          <w:szCs w:val="28"/>
          <w:lang w:eastAsia="en-US"/>
        </w:rPr>
        <w:t>оценки социально-экономических эффектов от проектов строительства (реконструкции) и эксплуатации объектов транспортной инфраструктуры, планируемых к реализации с привлечением средств федерального бюджета, а также с предоставлением государственных гарантий Российской Федерации и налоговых льгот», разработанный Министерством экономического развития Российской Федерации.</w:t>
      </w:r>
      <w:r w:rsidRPr="00972503">
        <w:rPr>
          <w:rFonts w:eastAsiaTheme="minorHAnsi"/>
          <w:bCs/>
          <w:sz w:val="28"/>
          <w:szCs w:val="28"/>
          <w:vertAlign w:val="superscript"/>
          <w:lang w:eastAsia="en-US"/>
        </w:rPr>
        <w:footnoteReference w:id="4"/>
      </w:r>
      <w:r w:rsidRPr="00972503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72503">
        <w:rPr>
          <w:rFonts w:eastAsiaTheme="minorHAnsi"/>
          <w:sz w:val="28"/>
          <w:szCs w:val="28"/>
          <w:lang w:eastAsia="en-US"/>
        </w:rPr>
        <w:t>(Далее – Методика Минэкономразвития).</w:t>
      </w:r>
    </w:p>
    <w:p w:rsidR="00972503" w:rsidRPr="00972503" w:rsidRDefault="00972503" w:rsidP="00972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>По факту предлагается оценить тот же набор мероприятий, но уже по другой методике и по другим показателям</w:t>
      </w:r>
      <w:r w:rsidRPr="00972503">
        <w:rPr>
          <w:rFonts w:eastAsiaTheme="minorHAnsi"/>
          <w:bCs/>
          <w:sz w:val="28"/>
          <w:szCs w:val="28"/>
          <w:lang w:eastAsia="en-US"/>
        </w:rPr>
        <w:t>: «прирост ВВП» и «бюджетный эффект».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Методика Минэкономразвития на самом деле представляет собой хорошую заготовку для дополнения и совершенствования существующей теории и практики оценки эффективности инфраструктурных проектов. В ней предложены алгоритмы оценки, так называемых, внешних эффектов реализации инвестиционного проекта. Раздел </w:t>
      </w:r>
      <w:r w:rsidR="00477322">
        <w:rPr>
          <w:rFonts w:eastAsiaTheme="minorHAnsi"/>
          <w:sz w:val="28"/>
          <w:szCs w:val="28"/>
          <w:lang w:eastAsia="en-US"/>
        </w:rPr>
        <w:t xml:space="preserve">по </w:t>
      </w:r>
      <w:r w:rsidRPr="00972503">
        <w:rPr>
          <w:rFonts w:eastAsiaTheme="minorHAnsi"/>
          <w:sz w:val="28"/>
          <w:szCs w:val="28"/>
          <w:lang w:eastAsia="en-US"/>
        </w:rPr>
        <w:t>расчет</w:t>
      </w:r>
      <w:r w:rsidR="00477322">
        <w:rPr>
          <w:rFonts w:eastAsiaTheme="minorHAnsi"/>
          <w:sz w:val="28"/>
          <w:szCs w:val="28"/>
          <w:lang w:eastAsia="en-US"/>
        </w:rPr>
        <w:t>у</w:t>
      </w:r>
      <w:r w:rsidRPr="00972503">
        <w:rPr>
          <w:rFonts w:eastAsiaTheme="minorHAnsi"/>
          <w:sz w:val="28"/>
          <w:szCs w:val="28"/>
          <w:lang w:eastAsia="en-US"/>
        </w:rPr>
        <w:t xml:space="preserve"> бюджетного эффекта, по сути, представляет собой методику оценки бюджетной эффективности инвестиционного проекта по показателю чистого дисконтированного дохода бюджета с учетом внешних эффектов.</w:t>
      </w:r>
    </w:p>
    <w:p w:rsidR="00972503" w:rsidRPr="00972503" w:rsidRDefault="00972503" w:rsidP="009725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>Крупномасштабные проекты в сфере развития сетевой транспортной инфраструктуры должны отбираться по результатам корректной, научно обоснованной оценки их системной эффективности, которую следует осуществлять по</w:t>
      </w:r>
      <w:r>
        <w:rPr>
          <w:rFonts w:eastAsiaTheme="minorHAnsi"/>
          <w:sz w:val="28"/>
          <w:szCs w:val="28"/>
          <w:lang w:eastAsia="en-US"/>
        </w:rPr>
        <w:t xml:space="preserve"> давно</w:t>
      </w:r>
      <w:r w:rsidRPr="00972503">
        <w:rPr>
          <w:rFonts w:eastAsiaTheme="minorHAnsi"/>
          <w:sz w:val="28"/>
          <w:szCs w:val="28"/>
          <w:lang w:eastAsia="en-US"/>
        </w:rPr>
        <w:t xml:space="preserve"> разработанным и постоянно совершенствуемым моделям с учетом специфики естественно-монопольной природы инфраструктурных подсистем, их сетевого характера и </w:t>
      </w:r>
      <w:proofErr w:type="spellStart"/>
      <w:r w:rsidRPr="00972503">
        <w:rPr>
          <w:rFonts w:eastAsiaTheme="minorHAnsi"/>
          <w:sz w:val="28"/>
          <w:szCs w:val="28"/>
          <w:lang w:eastAsia="en-US"/>
        </w:rPr>
        <w:t>нестационарности</w:t>
      </w:r>
      <w:proofErr w:type="spellEnd"/>
      <w:r w:rsidRPr="00972503">
        <w:rPr>
          <w:rFonts w:eastAsiaTheme="minorHAnsi"/>
          <w:sz w:val="28"/>
          <w:szCs w:val="28"/>
          <w:lang w:eastAsia="en-US"/>
        </w:rPr>
        <w:t xml:space="preserve"> </w:t>
      </w:r>
      <w:r w:rsidRPr="00972503">
        <w:rPr>
          <w:rFonts w:eastAsiaTheme="minorHAnsi"/>
          <w:sz w:val="28"/>
          <w:szCs w:val="28"/>
          <w:lang w:eastAsia="en-US"/>
        </w:rPr>
        <w:lastRenderedPageBreak/>
        <w:t xml:space="preserve">макроэкономического окружения проекта на современном этапе развития экономики страны.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972503">
        <w:rPr>
          <w:sz w:val="28"/>
          <w:szCs w:val="28"/>
        </w:rPr>
        <w:t xml:space="preserve">В начале радикальных реформ в России научный коллектив </w:t>
      </w:r>
      <w:r>
        <w:rPr>
          <w:sz w:val="28"/>
          <w:szCs w:val="28"/>
        </w:rPr>
        <w:t xml:space="preserve">в составе </w:t>
      </w:r>
      <w:proofErr w:type="spellStart"/>
      <w:r w:rsidRPr="00972503">
        <w:rPr>
          <w:sz w:val="28"/>
          <w:szCs w:val="28"/>
        </w:rPr>
        <w:t>В.В.Коссов</w:t>
      </w:r>
      <w:r>
        <w:rPr>
          <w:sz w:val="28"/>
          <w:szCs w:val="28"/>
        </w:rPr>
        <w:t>а</w:t>
      </w:r>
      <w:proofErr w:type="spellEnd"/>
      <w:r w:rsidRPr="00972503">
        <w:rPr>
          <w:sz w:val="28"/>
          <w:szCs w:val="28"/>
        </w:rPr>
        <w:t xml:space="preserve">, </w:t>
      </w:r>
      <w:proofErr w:type="spellStart"/>
      <w:r w:rsidRPr="00972503">
        <w:rPr>
          <w:sz w:val="28"/>
          <w:szCs w:val="28"/>
        </w:rPr>
        <w:t>В.Н.Лившиц</w:t>
      </w:r>
      <w:r>
        <w:rPr>
          <w:sz w:val="28"/>
          <w:szCs w:val="28"/>
        </w:rPr>
        <w:t>а</w:t>
      </w:r>
      <w:proofErr w:type="spellEnd"/>
      <w:r w:rsidRPr="00972503">
        <w:rPr>
          <w:sz w:val="28"/>
          <w:szCs w:val="28"/>
        </w:rPr>
        <w:t xml:space="preserve">, </w:t>
      </w:r>
      <w:proofErr w:type="spellStart"/>
      <w:r w:rsidRPr="00972503">
        <w:rPr>
          <w:sz w:val="28"/>
          <w:szCs w:val="28"/>
        </w:rPr>
        <w:t>П.Л.Виленск</w:t>
      </w:r>
      <w:r>
        <w:rPr>
          <w:sz w:val="28"/>
          <w:szCs w:val="28"/>
        </w:rPr>
        <w:t>ого</w:t>
      </w:r>
      <w:proofErr w:type="spellEnd"/>
      <w:r w:rsidRPr="00972503">
        <w:rPr>
          <w:sz w:val="28"/>
          <w:szCs w:val="28"/>
        </w:rPr>
        <w:t xml:space="preserve">, </w:t>
      </w:r>
      <w:proofErr w:type="spellStart"/>
      <w:r w:rsidRPr="00972503">
        <w:rPr>
          <w:sz w:val="28"/>
          <w:szCs w:val="28"/>
        </w:rPr>
        <w:t>С.А.Смоляк</w:t>
      </w:r>
      <w:r>
        <w:rPr>
          <w:sz w:val="28"/>
          <w:szCs w:val="28"/>
        </w:rPr>
        <w:t>а</w:t>
      </w:r>
      <w:proofErr w:type="spellEnd"/>
      <w:r w:rsidRPr="00972503">
        <w:rPr>
          <w:sz w:val="28"/>
          <w:szCs w:val="28"/>
        </w:rPr>
        <w:t xml:space="preserve">, </w:t>
      </w:r>
      <w:proofErr w:type="spellStart"/>
      <w:r w:rsidRPr="00972503">
        <w:rPr>
          <w:sz w:val="28"/>
          <w:szCs w:val="28"/>
        </w:rPr>
        <w:t>А.Г.Шахназаров</w:t>
      </w:r>
      <w:r>
        <w:rPr>
          <w:sz w:val="28"/>
          <w:szCs w:val="28"/>
        </w:rPr>
        <w:t>а</w:t>
      </w:r>
      <w:proofErr w:type="spellEnd"/>
      <w:r w:rsidRPr="00972503">
        <w:rPr>
          <w:sz w:val="28"/>
          <w:szCs w:val="28"/>
        </w:rPr>
        <w:t xml:space="preserve">, </w:t>
      </w:r>
      <w:proofErr w:type="spellStart"/>
      <w:r w:rsidRPr="00972503">
        <w:rPr>
          <w:sz w:val="28"/>
          <w:szCs w:val="28"/>
        </w:rPr>
        <w:t>В.П.Трофимов</w:t>
      </w:r>
      <w:r>
        <w:rPr>
          <w:sz w:val="28"/>
          <w:szCs w:val="28"/>
        </w:rPr>
        <w:t>а</w:t>
      </w:r>
      <w:proofErr w:type="spellEnd"/>
      <w:r w:rsidRPr="00972503">
        <w:rPr>
          <w:sz w:val="28"/>
          <w:szCs w:val="28"/>
        </w:rPr>
        <w:t xml:space="preserve">, </w:t>
      </w:r>
      <w:proofErr w:type="spellStart"/>
      <w:r w:rsidRPr="00972503">
        <w:rPr>
          <w:sz w:val="28"/>
          <w:szCs w:val="28"/>
        </w:rPr>
        <w:t>А.П.Первозванск</w:t>
      </w:r>
      <w:r>
        <w:rPr>
          <w:sz w:val="28"/>
          <w:szCs w:val="28"/>
        </w:rPr>
        <w:t>ого</w:t>
      </w:r>
      <w:proofErr w:type="spellEnd"/>
      <w:r w:rsidRPr="00972503">
        <w:rPr>
          <w:sz w:val="28"/>
          <w:szCs w:val="28"/>
        </w:rPr>
        <w:t xml:space="preserve"> и др</w:t>
      </w:r>
      <w:r>
        <w:rPr>
          <w:sz w:val="28"/>
          <w:szCs w:val="28"/>
        </w:rPr>
        <w:t>угих</w:t>
      </w:r>
      <w:r w:rsidRPr="00972503">
        <w:rPr>
          <w:sz w:val="28"/>
          <w:szCs w:val="28"/>
        </w:rPr>
        <w:t xml:space="preserve">  разработал методологию оценки эффективности инвестиционных проектов. Методика российских ученых представля</w:t>
      </w:r>
      <w:r w:rsidR="00051A0C">
        <w:rPr>
          <w:sz w:val="28"/>
          <w:szCs w:val="28"/>
        </w:rPr>
        <w:t>ла</w:t>
      </w:r>
      <w:r w:rsidRPr="00972503">
        <w:rPr>
          <w:sz w:val="28"/>
          <w:szCs w:val="28"/>
        </w:rPr>
        <w:t xml:space="preserve"> собой скорректированные и усовершенствованные с учетом особенностей существующей в России нестационарной экономики процедуры </w:t>
      </w:r>
      <w:r w:rsidRPr="00972503">
        <w:rPr>
          <w:iCs/>
          <w:sz w:val="28"/>
          <w:szCs w:val="28"/>
        </w:rPr>
        <w:t xml:space="preserve">проектного анализа, </w:t>
      </w:r>
      <w:r w:rsidRPr="00972503">
        <w:rPr>
          <w:sz w:val="28"/>
          <w:szCs w:val="28"/>
        </w:rPr>
        <w:t xml:space="preserve">принятые </w:t>
      </w:r>
      <w:r w:rsidRPr="00972503">
        <w:rPr>
          <w:iCs/>
          <w:sz w:val="28"/>
          <w:szCs w:val="28"/>
        </w:rPr>
        <w:t xml:space="preserve">за рубежом. </w:t>
      </w:r>
      <w:r w:rsidRPr="00972503">
        <w:rPr>
          <w:rFonts w:eastAsiaTheme="minorHAnsi"/>
          <w:spacing w:val="-4"/>
          <w:sz w:val="28"/>
          <w:szCs w:val="28"/>
          <w:lang w:eastAsia="en-US"/>
        </w:rPr>
        <w:t>[1]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pacing w:val="-4"/>
          <w:sz w:val="28"/>
          <w:szCs w:val="28"/>
          <w:lang w:eastAsia="en-US"/>
        </w:rPr>
      </w:pPr>
      <w:r w:rsidRPr="00972503">
        <w:rPr>
          <w:rFonts w:eastAsia="Calibri"/>
          <w:sz w:val="28"/>
          <w:szCs w:val="28"/>
        </w:rPr>
        <w:t xml:space="preserve">Теория оценки эффективности инвестиционных проектов не стоит на месте, в том числе следуя за характеристиками исходных условий экономики России. Современная методология оценки эффективности инвестиционных проектов в течение последних десятилетий развивалась в трудах  П.Л. </w:t>
      </w:r>
      <w:proofErr w:type="spellStart"/>
      <w:r w:rsidRPr="00972503">
        <w:rPr>
          <w:rFonts w:eastAsia="Calibri"/>
          <w:sz w:val="28"/>
          <w:szCs w:val="28"/>
        </w:rPr>
        <w:t>Виленского</w:t>
      </w:r>
      <w:proofErr w:type="spellEnd"/>
      <w:r w:rsidRPr="00972503">
        <w:rPr>
          <w:rFonts w:eastAsia="Calibri"/>
          <w:sz w:val="28"/>
          <w:szCs w:val="28"/>
        </w:rPr>
        <w:t xml:space="preserve">, </w:t>
      </w:r>
      <w:proofErr w:type="spellStart"/>
      <w:r w:rsidRPr="00972503">
        <w:rPr>
          <w:rFonts w:eastAsia="Calibri"/>
          <w:sz w:val="28"/>
          <w:szCs w:val="28"/>
        </w:rPr>
        <w:t>В.Н.Лившица</w:t>
      </w:r>
      <w:proofErr w:type="spellEnd"/>
      <w:r w:rsidRPr="00972503">
        <w:rPr>
          <w:rFonts w:eastAsia="Calibri"/>
          <w:sz w:val="28"/>
          <w:szCs w:val="28"/>
        </w:rPr>
        <w:t xml:space="preserve">, </w:t>
      </w:r>
      <w:proofErr w:type="spellStart"/>
      <w:r w:rsidRPr="00972503">
        <w:rPr>
          <w:rFonts w:eastAsia="Calibri"/>
          <w:sz w:val="28"/>
          <w:szCs w:val="28"/>
        </w:rPr>
        <w:t>С.А.Смоляка</w:t>
      </w:r>
      <w:proofErr w:type="spellEnd"/>
      <w:r w:rsidRPr="00972503">
        <w:rPr>
          <w:rFonts w:eastAsia="Calibri"/>
          <w:sz w:val="28"/>
          <w:szCs w:val="28"/>
        </w:rPr>
        <w:t xml:space="preserve">. </w:t>
      </w:r>
      <w:r w:rsidRPr="00972503">
        <w:rPr>
          <w:rFonts w:eastAsiaTheme="minorHAnsi"/>
          <w:spacing w:val="-4"/>
          <w:sz w:val="28"/>
          <w:szCs w:val="28"/>
          <w:lang w:eastAsia="en-US"/>
        </w:rPr>
        <w:t>[2-</w:t>
      </w:r>
      <w:r w:rsidR="00051A0C">
        <w:rPr>
          <w:rFonts w:eastAsiaTheme="minorHAnsi"/>
          <w:spacing w:val="-4"/>
          <w:sz w:val="28"/>
          <w:szCs w:val="28"/>
          <w:lang w:eastAsia="en-US"/>
        </w:rPr>
        <w:t>4</w:t>
      </w:r>
      <w:r w:rsidRPr="00972503">
        <w:rPr>
          <w:rFonts w:eastAsiaTheme="minorHAnsi"/>
          <w:spacing w:val="-4"/>
          <w:sz w:val="28"/>
          <w:szCs w:val="28"/>
          <w:lang w:eastAsia="en-US"/>
        </w:rPr>
        <w:t xml:space="preserve">] </w:t>
      </w:r>
      <w:proofErr w:type="gramStart"/>
      <w:r w:rsidRPr="00972503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972503">
        <w:rPr>
          <w:rFonts w:eastAsiaTheme="minorHAnsi"/>
          <w:sz w:val="28"/>
          <w:szCs w:val="28"/>
          <w:lang w:eastAsia="en-US"/>
        </w:rPr>
        <w:t xml:space="preserve"> рамках развития теории оценки эффективности инфраструктурных проектов коллективом под руководством </w:t>
      </w:r>
      <w:proofErr w:type="spellStart"/>
      <w:r w:rsidRPr="00972503">
        <w:rPr>
          <w:rFonts w:eastAsiaTheme="minorHAnsi"/>
          <w:sz w:val="28"/>
          <w:szCs w:val="28"/>
          <w:lang w:eastAsia="en-US"/>
        </w:rPr>
        <w:t>В.Н.Лившица</w:t>
      </w:r>
      <w:proofErr w:type="spellEnd"/>
      <w:r w:rsidRPr="00972503">
        <w:rPr>
          <w:rFonts w:eastAsiaTheme="minorHAnsi"/>
          <w:sz w:val="28"/>
          <w:szCs w:val="28"/>
          <w:lang w:eastAsia="en-US"/>
        </w:rPr>
        <w:t xml:space="preserve"> разработана методология оценки внешних эффектов реализации транспортных проектов, исследована их структура, предложены способы оценки и включения в критерии эффективности. </w:t>
      </w:r>
      <w:r w:rsidRPr="00972503">
        <w:rPr>
          <w:rFonts w:eastAsiaTheme="minorHAnsi"/>
          <w:spacing w:val="-4"/>
          <w:sz w:val="28"/>
          <w:szCs w:val="28"/>
          <w:lang w:eastAsia="en-US"/>
        </w:rPr>
        <w:t>[</w:t>
      </w:r>
      <w:r w:rsidR="00051A0C">
        <w:rPr>
          <w:rFonts w:eastAsiaTheme="minorHAnsi"/>
          <w:spacing w:val="-4"/>
          <w:sz w:val="28"/>
          <w:szCs w:val="28"/>
          <w:lang w:eastAsia="en-US"/>
        </w:rPr>
        <w:t>5</w:t>
      </w:r>
      <w:r w:rsidRPr="00972503">
        <w:rPr>
          <w:rFonts w:eastAsiaTheme="minorHAnsi"/>
          <w:spacing w:val="-4"/>
          <w:sz w:val="28"/>
          <w:szCs w:val="28"/>
          <w:lang w:eastAsia="en-US"/>
        </w:rPr>
        <w:t>-</w:t>
      </w:r>
      <w:r w:rsidR="00051A0C">
        <w:rPr>
          <w:rFonts w:eastAsiaTheme="minorHAnsi"/>
          <w:spacing w:val="-4"/>
          <w:sz w:val="28"/>
          <w:szCs w:val="28"/>
          <w:lang w:eastAsia="en-US"/>
        </w:rPr>
        <w:t>7</w:t>
      </w:r>
      <w:r w:rsidRPr="00972503">
        <w:rPr>
          <w:rFonts w:eastAsiaTheme="minorHAnsi"/>
          <w:spacing w:val="-4"/>
          <w:sz w:val="28"/>
          <w:szCs w:val="28"/>
          <w:lang w:eastAsia="en-US"/>
        </w:rPr>
        <w:t>]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sz w:val="28"/>
          <w:szCs w:val="28"/>
        </w:rPr>
      </w:pPr>
      <w:r w:rsidRPr="00972503">
        <w:rPr>
          <w:sz w:val="28"/>
          <w:szCs w:val="28"/>
        </w:rPr>
        <w:t xml:space="preserve">Представляется, что на эти работы следовало бы опираться при оценке общественной эффективности федеральных проектов по развитию транспортной инфраструктуры в составе Комплексного плана.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2503">
        <w:rPr>
          <w:rFonts w:eastAsia="Calibri"/>
          <w:sz w:val="28"/>
          <w:szCs w:val="28"/>
          <w:lang w:eastAsia="en-US"/>
        </w:rPr>
        <w:t xml:space="preserve">Оценивать можно эффективность конкретного инвестиционного проекта, а не способа достижения какой-либо цели. Другими словами, если речь идет о методике оценки эффективности инвестиций, то предполагается, что имеется проект развития транспортной инфраструктуры, доведенный до той стадии разработки, когда с достаточной степенью точности рассчитаны основные экономические, технические, технологические и прочие показатели, необходимые для расчетов эффективности инвестирования.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Оценка эффективности проекта производится по результатам моделирования денежных потоков для каждого года расчетного периода. Эти потоки отражают (в форме денежных поступлений и расходов) изменение всех результатов и затрат </w:t>
      </w:r>
      <w:r w:rsidR="00051A0C">
        <w:rPr>
          <w:rFonts w:eastAsiaTheme="minorHAnsi"/>
          <w:sz w:val="28"/>
          <w:szCs w:val="28"/>
          <w:lang w:eastAsia="en-US"/>
        </w:rPr>
        <w:t>в ситуации</w:t>
      </w:r>
      <w:r w:rsidRPr="00972503">
        <w:rPr>
          <w:rFonts w:eastAsiaTheme="minorHAnsi"/>
          <w:sz w:val="28"/>
          <w:szCs w:val="28"/>
          <w:lang w:eastAsia="en-US"/>
        </w:rPr>
        <w:t xml:space="preserve"> «</w:t>
      </w:r>
      <w:r w:rsidRPr="00972503">
        <w:rPr>
          <w:rFonts w:eastAsiaTheme="minorHAnsi"/>
          <w:sz w:val="28"/>
          <w:szCs w:val="28"/>
          <w:lang w:val="en-US" w:eastAsia="en-US"/>
        </w:rPr>
        <w:t>c</w:t>
      </w:r>
      <w:r w:rsidRPr="00972503">
        <w:rPr>
          <w:rFonts w:eastAsiaTheme="minorHAnsi"/>
          <w:sz w:val="28"/>
          <w:szCs w:val="28"/>
          <w:lang w:eastAsia="en-US"/>
        </w:rPr>
        <w:t xml:space="preserve"> проектом» по сравнению с ситуацией «без проекта». </w:t>
      </w:r>
      <w:r w:rsidRPr="00972503">
        <w:rPr>
          <w:rFonts w:eastAsia="Calibri"/>
          <w:sz w:val="28"/>
          <w:szCs w:val="28"/>
          <w:lang w:eastAsia="en-US"/>
        </w:rPr>
        <w:t xml:space="preserve">Инвестиционный проект должен рассматриваться </w:t>
      </w:r>
      <w:r w:rsidRPr="00972503">
        <w:rPr>
          <w:rFonts w:eastAsia="Calibri"/>
          <w:bCs/>
          <w:iCs/>
          <w:sz w:val="28"/>
          <w:szCs w:val="28"/>
          <w:lang w:eastAsia="en-US"/>
        </w:rPr>
        <w:t xml:space="preserve">на протяжении </w:t>
      </w:r>
      <w:r w:rsidRPr="00972503">
        <w:rPr>
          <w:rFonts w:eastAsia="Calibri"/>
          <w:sz w:val="28"/>
          <w:szCs w:val="28"/>
          <w:lang w:eastAsia="en-US"/>
        </w:rPr>
        <w:t>жизненного цикла, который для транспортной инфраструктуры не может быть менее 20 лет.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В моделях оценки эффективности развития сетевых инфраструктурных подсистем должны учитываться как непосредственно возникающие, прямые (внутренние) эффекты, так и опосредованно возникающие, косвенные (внешние) системные эффекты. Последние связаны со сложностью оцениваемого объекта, представляющего собой </w:t>
      </w:r>
      <w:r w:rsidRPr="00972503">
        <w:rPr>
          <w:rFonts w:eastAsiaTheme="minorHAnsi"/>
          <w:sz w:val="28"/>
          <w:szCs w:val="28"/>
          <w:lang w:eastAsia="en-US"/>
        </w:rPr>
        <w:lastRenderedPageBreak/>
        <w:t xml:space="preserve">совокупность звеньев, находящихся во взаимодействии, функционирующих и развивающихся в условиях конкретного, динамичного окружения (экономического, социального, экологического, политического).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>Внешние эффекты (в отличие от внутренних эффектов проекта) – это результаты реализации проекта, не оказывающие влияния на стоимостные показатели экономической деятельности участников проекта и, соответственно, не находящие отражения в их затратах и результатах.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По своей природе внешние эффекты от реализации инвестиционного проекта разделяются на экономические и прочие (социальные, экологические, оборонные и т.д.). Экономические  эффекты проявляются в стоимостных показателях предприятий и организаций сферы материального производства и транспорта, не являющихся участниками данного проекта;  предприятий связи, оптовой и розничной торговли; непроизводственной сферы (услуги населению и организациям, образование, здравоохранение, культура, физкультура и спорт, туризм и т.д.). К </w:t>
      </w:r>
      <w:proofErr w:type="gramStart"/>
      <w:r w:rsidRPr="00972503">
        <w:rPr>
          <w:rFonts w:eastAsiaTheme="minorHAnsi"/>
          <w:sz w:val="28"/>
          <w:szCs w:val="28"/>
          <w:lang w:eastAsia="en-US"/>
        </w:rPr>
        <w:t>экономическим  могут</w:t>
      </w:r>
      <w:proofErr w:type="gramEnd"/>
      <w:r w:rsidRPr="00972503">
        <w:rPr>
          <w:rFonts w:eastAsiaTheme="minorHAnsi"/>
          <w:sz w:val="28"/>
          <w:szCs w:val="28"/>
          <w:lang w:eastAsia="en-US"/>
        </w:rPr>
        <w:t xml:space="preserve"> быть отнесены также внешние эффекты, генерирующие изменение доходов и расходов бюджетов всех уровней, не связанное с деятельностью участников проекта. Социальные  эффекты проявляются в показателях уровня жизни населения в регионе реализации проекта; экологические –  в показателях, характеризующих качество окружающей среды в регионе влияния проекта, и т.д.</w:t>
      </w:r>
    </w:p>
    <w:p w:rsidR="00972503" w:rsidRPr="00972503" w:rsidRDefault="00972503" w:rsidP="0097250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 w:rsidRPr="00972503">
        <w:rPr>
          <w:sz w:val="28"/>
          <w:szCs w:val="28"/>
        </w:rPr>
        <w:t>Не менее важным, чем внешние эффекты, является эффект синергии, присущий многозвенным системам, к которым относится сетевая транспортная инфраструктура. Эффективность таких систем многократно возрастает в результате интеграции отдельных систем в единое целое. Это обстоятельство делает актуальным правильное научно обоснованное формирование самих инвестиционных проектов, недопустимость разбиения крупного проекта на множества мелких и их обособленной оценки.</w:t>
      </w:r>
    </w:p>
    <w:p w:rsidR="00972503" w:rsidRPr="00972503" w:rsidRDefault="00972503" w:rsidP="00972503">
      <w:pPr>
        <w:tabs>
          <w:tab w:val="left" w:pos="0"/>
          <w:tab w:val="left" w:pos="567"/>
          <w:tab w:val="center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 w:rsidRPr="00972503">
        <w:rPr>
          <w:sz w:val="28"/>
          <w:szCs w:val="28"/>
        </w:rPr>
        <w:t xml:space="preserve">При оценке эффективности проекта должны учитываться различные аспекты фактора времени, в том числе: динамичность (изменение во времени) параметров проекта и его экономического окружения; разрывы во времени (лаги) между производством продукции или поступлением ресурсов и их оплатой; неравноценность разновременных затрат и результатов. </w:t>
      </w:r>
    </w:p>
    <w:p w:rsidR="00972503" w:rsidRPr="00972503" w:rsidRDefault="00972503" w:rsidP="00972503">
      <w:pPr>
        <w:tabs>
          <w:tab w:val="left" w:pos="0"/>
          <w:tab w:val="left" w:pos="567"/>
          <w:tab w:val="center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bCs/>
          <w:iCs/>
          <w:sz w:val="28"/>
          <w:szCs w:val="28"/>
        </w:rPr>
      </w:pPr>
      <w:r w:rsidRPr="00972503">
        <w:rPr>
          <w:sz w:val="28"/>
          <w:szCs w:val="28"/>
        </w:rPr>
        <w:t xml:space="preserve">Необходимо учитывать изменения цен на различные виды продукции и ресурсов в период реализации проекта и возможности </w:t>
      </w:r>
      <w:r w:rsidRPr="00972503">
        <w:rPr>
          <w:bCs/>
          <w:iCs/>
          <w:sz w:val="28"/>
          <w:szCs w:val="28"/>
        </w:rPr>
        <w:t>использования при реализации проекта нескольких валют.</w:t>
      </w:r>
    </w:p>
    <w:p w:rsidR="00972503" w:rsidRPr="00972503" w:rsidRDefault="00972503" w:rsidP="00972503">
      <w:pPr>
        <w:tabs>
          <w:tab w:val="left" w:pos="0"/>
          <w:tab w:val="left" w:pos="567"/>
          <w:tab w:val="center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 w:rsidRPr="00972503">
        <w:rPr>
          <w:sz w:val="28"/>
          <w:szCs w:val="28"/>
        </w:rPr>
        <w:t xml:space="preserve">На различных стадиях разработки и осуществления проекта (обоснование инвестиций, ТЭО, выбор схемы финансирования, экономический мониторинг) его эффективность определяется заново, с </w:t>
      </w:r>
      <w:r w:rsidRPr="00972503">
        <w:rPr>
          <w:sz w:val="28"/>
          <w:szCs w:val="28"/>
        </w:rPr>
        <w:lastRenderedPageBreak/>
        <w:t xml:space="preserve">различной глубиной проработки и с учетом </w:t>
      </w:r>
      <w:r w:rsidRPr="00972503">
        <w:rPr>
          <w:bCs/>
          <w:iCs/>
          <w:sz w:val="28"/>
          <w:szCs w:val="28"/>
        </w:rPr>
        <w:t xml:space="preserve"> влияния неопределенностей и рисков</w:t>
      </w:r>
      <w:r w:rsidRPr="00972503">
        <w:rPr>
          <w:sz w:val="28"/>
          <w:szCs w:val="28"/>
        </w:rPr>
        <w:t xml:space="preserve">, сопровождающих реализацию проекта.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sz w:val="28"/>
          <w:szCs w:val="28"/>
        </w:rPr>
      </w:pPr>
      <w:r w:rsidRPr="00972503">
        <w:rPr>
          <w:sz w:val="28"/>
          <w:szCs w:val="28"/>
        </w:rPr>
        <w:t>Неопределенность обусловлена, в частности, ограниченностью информации об издержках, связанной с трудно реализуемой на практике возможностью проведения большого объема предварительных проектных изысканий и прогнозирования значений требуемых технико-экономических параметров, прежде всего, стоимостных, затратных. Не всегда заранее предсказуемы эффекты связности сети, изменчивости потоковой нагрузки и т.д.</w:t>
      </w:r>
    </w:p>
    <w:p w:rsidR="00972503" w:rsidRPr="00972503" w:rsidRDefault="00972503" w:rsidP="00972503">
      <w:pPr>
        <w:tabs>
          <w:tab w:val="left" w:pos="0"/>
          <w:tab w:val="left" w:pos="567"/>
          <w:tab w:val="center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 w:rsidRPr="00972503">
        <w:rPr>
          <w:sz w:val="28"/>
          <w:szCs w:val="28"/>
        </w:rPr>
        <w:t>Обобщающая оценка эффективности инвестиционного проекта и отбор лучшего из нескольких альтернативных проектов или вариантов проекта должны производиться по одному, основному (</w:t>
      </w:r>
      <w:proofErr w:type="spellStart"/>
      <w:r w:rsidRPr="00972503">
        <w:rPr>
          <w:sz w:val="28"/>
          <w:szCs w:val="28"/>
        </w:rPr>
        <w:t>критериальному</w:t>
      </w:r>
      <w:proofErr w:type="spellEnd"/>
      <w:r w:rsidRPr="00972503">
        <w:rPr>
          <w:sz w:val="28"/>
          <w:szCs w:val="28"/>
        </w:rPr>
        <w:t xml:space="preserve">) количественному показателю интегрального </w:t>
      </w:r>
      <w:r w:rsidRPr="00972503">
        <w:rPr>
          <w:bCs/>
          <w:sz w:val="28"/>
          <w:szCs w:val="28"/>
        </w:rPr>
        <w:t>эффекта</w:t>
      </w:r>
      <w:r w:rsidRPr="00972503">
        <w:rPr>
          <w:sz w:val="28"/>
          <w:szCs w:val="28"/>
        </w:rPr>
        <w:t xml:space="preserve">. Проект может оцениваться как эффективный только в том случае, если он обеспечивает неотрицательное значение этого показателя. Предпочтение должно отдаваться проекту или варианту с наибольшим значением интегрального эффекта. 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На современном этапе развития российской экономики с учетом ограниченности средств для инвестирования и продолжительности реализации крупномасштабных сетевых инфраструктурных проектов представляется актуальным нетрадиционный критерий оценки эффективности </w:t>
      </w:r>
      <w:proofErr w:type="gramStart"/>
      <w:r w:rsidRPr="00972503">
        <w:rPr>
          <w:rFonts w:eastAsiaTheme="minorHAnsi"/>
          <w:sz w:val="28"/>
          <w:szCs w:val="28"/>
          <w:lang w:eastAsia="en-US"/>
        </w:rPr>
        <w:t>–  в</w:t>
      </w:r>
      <w:proofErr w:type="gramEnd"/>
      <w:r w:rsidRPr="00972503">
        <w:rPr>
          <w:rFonts w:eastAsiaTheme="minorHAnsi"/>
          <w:sz w:val="28"/>
          <w:szCs w:val="28"/>
          <w:lang w:eastAsia="en-US"/>
        </w:rPr>
        <w:t xml:space="preserve"> виде реальной общественной прибыли от реализации проекта в конце расчетного периода.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Традиционная мотивация инвестора на максимизацию номинального показателя </w:t>
      </w:r>
      <w:r w:rsidR="008D01BC" w:rsidRPr="00972503">
        <w:rPr>
          <w:rFonts w:eastAsiaTheme="minorHAnsi"/>
          <w:sz w:val="28"/>
          <w:szCs w:val="28"/>
          <w:lang w:eastAsia="en-US"/>
        </w:rPr>
        <w:t>–</w:t>
      </w:r>
      <w:r w:rsidRPr="00972503">
        <w:rPr>
          <w:rFonts w:eastAsiaTheme="minorHAnsi"/>
          <w:sz w:val="28"/>
          <w:szCs w:val="28"/>
          <w:lang w:eastAsia="en-US"/>
        </w:rPr>
        <w:t xml:space="preserve"> чистой дисконтированной прибыли </w:t>
      </w:r>
      <w:r w:rsidR="008D01BC" w:rsidRPr="00972503">
        <w:rPr>
          <w:rFonts w:eastAsiaTheme="minorHAnsi"/>
          <w:sz w:val="28"/>
          <w:szCs w:val="28"/>
          <w:lang w:eastAsia="en-US"/>
        </w:rPr>
        <w:t>–</w:t>
      </w:r>
      <w:r w:rsidRPr="00972503">
        <w:rPr>
          <w:rFonts w:eastAsiaTheme="minorHAnsi"/>
          <w:sz w:val="28"/>
          <w:szCs w:val="28"/>
          <w:lang w:eastAsia="en-US"/>
        </w:rPr>
        <w:t xml:space="preserve"> заменяется мотивацией на максимизацию реального количества денежных средств, получаемых в конце реализации проекта как за счет прибыли самого проекта, так и за счет эффективного вложения получаемых в ходе проекта средств.</w:t>
      </w:r>
    </w:p>
    <w:p w:rsidR="00972503" w:rsidRPr="00972503" w:rsidRDefault="00972503" w:rsidP="00972503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 xml:space="preserve">Основной характеристикой эффективности проекта предлагается считать его реальный чистый наращенный доход </w:t>
      </w:r>
      <w:r w:rsidR="008D01BC" w:rsidRPr="00972503">
        <w:rPr>
          <w:rFonts w:eastAsiaTheme="minorHAnsi"/>
          <w:sz w:val="28"/>
          <w:szCs w:val="28"/>
          <w:lang w:eastAsia="en-US"/>
        </w:rPr>
        <w:t>–</w:t>
      </w:r>
      <w:r w:rsidRPr="00972503">
        <w:rPr>
          <w:rFonts w:eastAsiaTheme="minorHAnsi"/>
          <w:sz w:val="28"/>
          <w:szCs w:val="28"/>
          <w:lang w:eastAsia="en-US"/>
        </w:rPr>
        <w:t xml:space="preserve"> разность между суммой средств, которая окажется в распоряжении инвестора к концу проекта за счет получения доходов от проекта и их использования, и приведенной к тому же моменту суммой упущенной выгоды от альтернативного вложения капитала. Упущенная выгода, которая входит в величину критерия со знаком минус, равна максимальному из возможных эффектов от использования в альтернативных направлениях ресурсов, отвлеченных на данный проект. </w:t>
      </w:r>
    </w:p>
    <w:p w:rsidR="00972503" w:rsidRPr="00972503" w:rsidRDefault="00972503" w:rsidP="00972503">
      <w:pPr>
        <w:tabs>
          <w:tab w:val="left" w:pos="4860"/>
        </w:tabs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2503">
        <w:rPr>
          <w:rFonts w:eastAsiaTheme="minorHAnsi"/>
          <w:sz w:val="28"/>
          <w:szCs w:val="28"/>
          <w:lang w:eastAsia="en-US"/>
        </w:rPr>
        <w:t>Применение нетрадиционной модели к оценке эффективности развития сетевых инфраструктурных подсистем отвечает современным экономическим условиям и обеспечивает возможность мониторинга эффективности и управления ею по ходу реализации проекта, что особенно важно для мероприятий, осуществляемых в течение десяти и более лет.</w:t>
      </w:r>
    </w:p>
    <w:p w:rsidR="00972503" w:rsidRPr="00972503" w:rsidRDefault="00972503" w:rsidP="00972503">
      <w:pPr>
        <w:tabs>
          <w:tab w:val="left" w:pos="4820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</w:p>
    <w:p w:rsidR="008D01BC" w:rsidRDefault="008D01BC" w:rsidP="00972503">
      <w:pPr>
        <w:tabs>
          <w:tab w:val="left" w:pos="4820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8D01BC">
        <w:rPr>
          <w:iCs/>
          <w:sz w:val="28"/>
          <w:szCs w:val="28"/>
        </w:rPr>
        <w:lastRenderedPageBreak/>
        <w:t>В заключение еще раз отметим следующее.</w:t>
      </w:r>
      <w:r w:rsidR="00972503" w:rsidRPr="00972503">
        <w:rPr>
          <w:iCs/>
          <w:sz w:val="28"/>
          <w:szCs w:val="28"/>
        </w:rPr>
        <w:t xml:space="preserve"> </w:t>
      </w:r>
    </w:p>
    <w:p w:rsidR="00972503" w:rsidRPr="00972503" w:rsidRDefault="00972503" w:rsidP="00972503">
      <w:pPr>
        <w:tabs>
          <w:tab w:val="left" w:pos="4820"/>
        </w:tabs>
        <w:spacing w:after="0" w:line="24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972503">
        <w:rPr>
          <w:iCs/>
          <w:sz w:val="28"/>
          <w:szCs w:val="28"/>
        </w:rPr>
        <w:t xml:space="preserve">Методические документы, разработанные в течение последних двух лет для оценки социально-экономического эффекта мероприятий в рамках реализации федеральных проектов, направленных </w:t>
      </w:r>
      <w:r w:rsidRPr="00972503">
        <w:rPr>
          <w:rFonts w:eastAsiaTheme="minorHAnsi"/>
          <w:iCs/>
          <w:sz w:val="28"/>
          <w:szCs w:val="28"/>
          <w:lang w:eastAsia="en-US"/>
        </w:rPr>
        <w:t>на модернизацию и расширение транспортной инфраструктуры в составе Комплексного плана, не могут быть использованы для оценки общественной эффективности крупномасштабных инвестиционных проектов развития сетевой транспортной инфраструктуры.</w:t>
      </w:r>
    </w:p>
    <w:p w:rsidR="00972503" w:rsidRPr="00972503" w:rsidRDefault="00972503" w:rsidP="00972503">
      <w:pPr>
        <w:tabs>
          <w:tab w:val="left" w:pos="4820"/>
        </w:tabs>
        <w:spacing w:after="0" w:line="24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972503">
        <w:rPr>
          <w:rFonts w:eastAsiaTheme="minorHAnsi"/>
          <w:iCs/>
          <w:sz w:val="28"/>
          <w:szCs w:val="28"/>
          <w:lang w:eastAsia="en-US"/>
        </w:rPr>
        <w:t>Для отбора инвестиционных проектов с целью их реализации в рамках Комплексного плана следует кардинально изменить подход не только к оценке эффективности проектов, но и к самому проектированию.</w:t>
      </w:r>
    </w:p>
    <w:p w:rsidR="00972503" w:rsidRPr="00972503" w:rsidRDefault="00972503" w:rsidP="00972503">
      <w:pPr>
        <w:tabs>
          <w:tab w:val="left" w:pos="4820"/>
        </w:tabs>
        <w:spacing w:after="0" w:line="24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972503">
        <w:rPr>
          <w:rFonts w:eastAsiaTheme="minorHAnsi"/>
          <w:iCs/>
          <w:sz w:val="28"/>
          <w:szCs w:val="28"/>
          <w:lang w:eastAsia="en-US"/>
        </w:rPr>
        <w:t>От генерации множества не связанных друг с другом мелких  мероприятий, которые, по мнению инициаторов, каким-то образом вписываются в тот или иной федеральный проект, следует перейти к организованному централизованному проектированию одного-двух крупномасштабных проектов, реализующих задачи, поставленные в рамках каждого из  федеральных проектов. Разработка ТЭО проектов должна осуществляться поэтапно на конкурсной основе частными или специально созданными государственными структурами. Они же в рамках разработки проекта должны оценивать его общественную эффективность. В качестве критерия  такой оценки предлагается реальный наращенный чистый доход проекта.</w:t>
      </w:r>
    </w:p>
    <w:p w:rsidR="00866B98" w:rsidRDefault="00866B98" w:rsidP="00866B98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866B98" w:rsidRPr="003F423D" w:rsidRDefault="00866B98" w:rsidP="00866B98">
      <w:pPr>
        <w:spacing w:after="0" w:line="240" w:lineRule="auto"/>
        <w:jc w:val="center"/>
        <w:rPr>
          <w:b/>
          <w:bCs/>
          <w:i/>
          <w:iCs/>
        </w:rPr>
      </w:pPr>
      <w:r w:rsidRPr="0040187C">
        <w:rPr>
          <w:b/>
          <w:bCs/>
          <w:i/>
          <w:iCs/>
        </w:rPr>
        <w:t>Список</w:t>
      </w:r>
      <w:r w:rsidRPr="003F423D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использованной</w:t>
      </w:r>
      <w:r w:rsidRPr="003F423D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литературы</w:t>
      </w:r>
      <w:r w:rsidRPr="003F423D">
        <w:rPr>
          <w:b/>
          <w:bCs/>
          <w:i/>
          <w:iCs/>
        </w:rPr>
        <w:t>:</w:t>
      </w:r>
    </w:p>
    <w:p w:rsidR="006A00F5" w:rsidRPr="00EE2A00" w:rsidRDefault="00EE2A00" w:rsidP="006A00F5">
      <w:pPr>
        <w:tabs>
          <w:tab w:val="num" w:pos="540"/>
        </w:tabs>
        <w:spacing w:after="0" w:line="240" w:lineRule="auto"/>
        <w:ind w:firstLine="709"/>
        <w:jc w:val="both"/>
      </w:pPr>
      <w:r>
        <w:t xml:space="preserve">1. </w:t>
      </w:r>
      <w:r w:rsidR="006A00F5" w:rsidRPr="006A00F5">
        <w:t xml:space="preserve">Методические рекомендации по оценке эффективности инвестиционных проектов (Вторая редакция). </w:t>
      </w:r>
      <w:r w:rsidR="006A00F5" w:rsidRPr="00F5382C">
        <w:t xml:space="preserve">Министерство экономики РФ, Министерство финансов РФ, ГК РФ по строительству, архитектуре и жилищной политике. – М.: Экономика, 2000. </w:t>
      </w:r>
      <w:r w:rsidR="006A00F5" w:rsidRPr="00EE2A00">
        <w:t>422 с.</w:t>
      </w:r>
    </w:p>
    <w:p w:rsidR="006A00F5" w:rsidRPr="00EE2A00" w:rsidRDefault="00EE2A00" w:rsidP="006A00F5">
      <w:pPr>
        <w:tabs>
          <w:tab w:val="num" w:pos="540"/>
        </w:tabs>
        <w:spacing w:after="0" w:line="240" w:lineRule="auto"/>
        <w:ind w:firstLine="709"/>
        <w:jc w:val="both"/>
      </w:pPr>
      <w:r>
        <w:t xml:space="preserve">2. </w:t>
      </w:r>
      <w:proofErr w:type="spellStart"/>
      <w:r w:rsidR="006A00F5" w:rsidRPr="00EE2A00">
        <w:t>Виленский</w:t>
      </w:r>
      <w:proofErr w:type="spellEnd"/>
      <w:r w:rsidR="006A00F5" w:rsidRPr="00EE2A00">
        <w:t xml:space="preserve"> П.Л., Лившиц В.Н., Смоляк С.А. Оценка эффективности инвестиционных проектов. Теория и практика. 5-е изд. М.: </w:t>
      </w:r>
      <w:proofErr w:type="spellStart"/>
      <w:r w:rsidR="006A00F5" w:rsidRPr="00EE2A00">
        <w:t>ПолиПринтСервис</w:t>
      </w:r>
      <w:proofErr w:type="spellEnd"/>
      <w:r w:rsidR="006A00F5" w:rsidRPr="00EE2A00">
        <w:t xml:space="preserve">, 2015. 1300 </w:t>
      </w:r>
      <w:r w:rsidR="006A00F5" w:rsidRPr="006A00F5">
        <w:rPr>
          <w:lang w:val="en-US"/>
        </w:rPr>
        <w:t>c</w:t>
      </w:r>
      <w:r w:rsidR="006A00F5" w:rsidRPr="00EE2A00">
        <w:t>.</w:t>
      </w:r>
    </w:p>
    <w:p w:rsidR="006A00F5" w:rsidRPr="00EE2A00" w:rsidRDefault="00EE2A00" w:rsidP="006A00F5">
      <w:pPr>
        <w:tabs>
          <w:tab w:val="num" w:pos="540"/>
        </w:tabs>
        <w:spacing w:after="0" w:line="240" w:lineRule="auto"/>
        <w:ind w:firstLine="709"/>
        <w:jc w:val="both"/>
      </w:pPr>
      <w:r>
        <w:t xml:space="preserve">3. </w:t>
      </w:r>
      <w:proofErr w:type="spellStart"/>
      <w:r w:rsidR="006A00F5" w:rsidRPr="00EE2A00">
        <w:t>Виленский</w:t>
      </w:r>
      <w:proofErr w:type="spellEnd"/>
      <w:r w:rsidR="006A00F5" w:rsidRPr="00EE2A00">
        <w:t xml:space="preserve"> П., Лившиц В., Смоляк С., Шахназаров А. О методологии оценки эффективности реальных инвестиционных проектов. Ч.1. // Российский экономический журнал. 2006. № 9-10. С.63-73.</w:t>
      </w:r>
    </w:p>
    <w:p w:rsidR="006A00F5" w:rsidRPr="00EE2A00" w:rsidRDefault="00EE2A00" w:rsidP="006A00F5">
      <w:pPr>
        <w:tabs>
          <w:tab w:val="num" w:pos="540"/>
        </w:tabs>
        <w:spacing w:after="0" w:line="240" w:lineRule="auto"/>
        <w:ind w:firstLine="709"/>
        <w:jc w:val="both"/>
      </w:pPr>
      <w:r>
        <w:t xml:space="preserve">4. </w:t>
      </w:r>
      <w:proofErr w:type="spellStart"/>
      <w:r w:rsidR="006A00F5" w:rsidRPr="00EE2A00">
        <w:t>Виленский</w:t>
      </w:r>
      <w:proofErr w:type="spellEnd"/>
      <w:r w:rsidR="006A00F5" w:rsidRPr="00EE2A00">
        <w:t xml:space="preserve"> П.Л, Лившиц В.Н. О типовых заблуждениях при оценке эффективности инвестиционных проектов. // Экономика и математические методы. 2014. Том 48. Вып.1.</w:t>
      </w:r>
    </w:p>
    <w:p w:rsidR="006A00F5" w:rsidRPr="00EE2A00" w:rsidRDefault="00EE2A00" w:rsidP="006A00F5">
      <w:pPr>
        <w:tabs>
          <w:tab w:val="num" w:pos="540"/>
        </w:tabs>
        <w:spacing w:after="0" w:line="240" w:lineRule="auto"/>
        <w:ind w:firstLine="709"/>
        <w:jc w:val="both"/>
      </w:pPr>
      <w:r>
        <w:t xml:space="preserve">5. </w:t>
      </w:r>
      <w:r w:rsidR="006A00F5" w:rsidRPr="00EE2A00">
        <w:t xml:space="preserve">Лившиц В.Н., Миронова И. А., Швецов А.Н. Оценка эффективности инвестиционных проектов в различных условиях // Экономика в промышленности. – 2019. – Т.12 - №1. – С. 29-43. </w:t>
      </w:r>
    </w:p>
    <w:p w:rsidR="006A00F5" w:rsidRPr="00EE2A00" w:rsidRDefault="00EE2A00" w:rsidP="006A00F5">
      <w:pPr>
        <w:tabs>
          <w:tab w:val="num" w:pos="540"/>
        </w:tabs>
        <w:spacing w:after="0" w:line="240" w:lineRule="auto"/>
        <w:ind w:firstLine="709"/>
        <w:jc w:val="both"/>
      </w:pPr>
      <w:r>
        <w:t xml:space="preserve">6. </w:t>
      </w:r>
      <w:r w:rsidR="006A00F5" w:rsidRPr="00EE2A00">
        <w:t xml:space="preserve">Миронова И.А., Тищенко Т.И. К оценке общественной эффективности железнодорожных высокоскоростных магистралей. // Российский экономический журнал. 2019.№2. С.45-61. </w:t>
      </w:r>
    </w:p>
    <w:p w:rsidR="002A292D" w:rsidRPr="00080B22" w:rsidRDefault="00EE2A00" w:rsidP="00F5382C">
      <w:pPr>
        <w:tabs>
          <w:tab w:val="num" w:pos="540"/>
        </w:tabs>
        <w:spacing w:after="0" w:line="240" w:lineRule="auto"/>
        <w:ind w:firstLine="709"/>
        <w:jc w:val="both"/>
        <w:rPr>
          <w:b/>
          <w:i/>
          <w:sz w:val="28"/>
          <w:szCs w:val="28"/>
          <w:lang w:val="en-US"/>
        </w:rPr>
      </w:pPr>
      <w:r>
        <w:t xml:space="preserve">7. </w:t>
      </w:r>
      <w:r w:rsidR="006A00F5" w:rsidRPr="00EE2A00">
        <w:t>Миронова И.А. Оценка внешних эффектов в расчетах общественной эффективности крупных инвестиционных проектов строительства и реконструкции участков железной дороги // Аудит и финансовый анализ, 2013. № 4. С. 200–217.</w:t>
      </w:r>
    </w:p>
    <w:sectPr w:rsidR="002A292D" w:rsidRPr="00080B22" w:rsidSect="00866B98">
      <w:pgSz w:w="11906" w:h="16838"/>
      <w:pgMar w:top="1418" w:right="1418" w:bottom="1418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81B" w:rsidRDefault="0067381B" w:rsidP="00972503">
      <w:pPr>
        <w:spacing w:after="0" w:line="240" w:lineRule="auto"/>
      </w:pPr>
      <w:r>
        <w:separator/>
      </w:r>
    </w:p>
  </w:endnote>
  <w:endnote w:type="continuationSeparator" w:id="0">
    <w:p w:rsidR="0067381B" w:rsidRDefault="0067381B" w:rsidP="0097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charset w:val="CC"/>
    <w:family w:val="swiss"/>
    <w:pitch w:val="variable"/>
    <w:sig w:usb0="E4838EFF" w:usb1="4200FDFF" w:usb2="000030A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81B" w:rsidRDefault="0067381B" w:rsidP="00972503">
      <w:pPr>
        <w:spacing w:after="0" w:line="240" w:lineRule="auto"/>
      </w:pPr>
      <w:r>
        <w:separator/>
      </w:r>
    </w:p>
  </w:footnote>
  <w:footnote w:type="continuationSeparator" w:id="0">
    <w:p w:rsidR="0067381B" w:rsidRDefault="0067381B" w:rsidP="00972503">
      <w:pPr>
        <w:spacing w:after="0" w:line="240" w:lineRule="auto"/>
      </w:pPr>
      <w:r>
        <w:continuationSeparator/>
      </w:r>
    </w:p>
  </w:footnote>
  <w:footnote w:id="1">
    <w:p w:rsidR="00972503" w:rsidRDefault="00972503" w:rsidP="00972503">
      <w:pPr>
        <w:pStyle w:val="af1"/>
        <w:jc w:val="both"/>
      </w:pPr>
      <w:r>
        <w:rPr>
          <w:rStyle w:val="af0"/>
        </w:rPr>
        <w:footnoteRef/>
      </w:r>
      <w:r>
        <w:t xml:space="preserve"> </w:t>
      </w:r>
      <w:r w:rsidRPr="0008470A">
        <w:t>«Методика ранжирования отдельных мероприятий, включаемых в федеральные проекты комплексного плана модернизации и расширения магистральной транспортной инфраструктуры на период до 2024 года», утв</w:t>
      </w:r>
      <w:r>
        <w:t>.</w:t>
      </w:r>
      <w:r w:rsidRPr="0008470A">
        <w:t xml:space="preserve"> Правительственной комиссией по транспорту (протокол от 29 января №1).</w:t>
      </w:r>
      <w:r>
        <w:t xml:space="preserve"> </w:t>
      </w:r>
      <w:r w:rsidRPr="00D43FF2">
        <w:t>https://base.garant.ru/72206990/</w:t>
      </w:r>
    </w:p>
  </w:footnote>
  <w:footnote w:id="2">
    <w:p w:rsidR="00972503" w:rsidRDefault="00972503" w:rsidP="00972503">
      <w:pPr>
        <w:pStyle w:val="af1"/>
      </w:pPr>
      <w:r>
        <w:rPr>
          <w:rStyle w:val="af0"/>
        </w:rPr>
        <w:footnoteRef/>
      </w:r>
      <w:r>
        <w:t xml:space="preserve"> </w:t>
      </w:r>
      <w:r w:rsidRPr="00D43FF2">
        <w:t>https://ac.gov.ru/</w:t>
      </w:r>
    </w:p>
  </w:footnote>
  <w:footnote w:id="3">
    <w:p w:rsidR="00972503" w:rsidRDefault="00972503" w:rsidP="00972503">
      <w:pPr>
        <w:pStyle w:val="af1"/>
      </w:pPr>
      <w:r>
        <w:rPr>
          <w:rStyle w:val="af0"/>
        </w:rPr>
        <w:footnoteRef/>
      </w:r>
      <w:r>
        <w:t xml:space="preserve"> </w:t>
      </w:r>
      <w:r w:rsidRPr="002B35F8">
        <w:t>https://ac.gov.ru/comments/comment/26268</w:t>
      </w:r>
    </w:p>
  </w:footnote>
  <w:footnote w:id="4">
    <w:p w:rsidR="00972503" w:rsidRDefault="00972503" w:rsidP="00972503">
      <w:pPr>
        <w:pStyle w:val="af1"/>
      </w:pPr>
      <w:r>
        <w:rPr>
          <w:rStyle w:val="af0"/>
        </w:rPr>
        <w:footnoteRef/>
      </w:r>
      <w:r>
        <w:t xml:space="preserve"> </w:t>
      </w:r>
      <w:r w:rsidRPr="00990C4C">
        <w:t>http://www.consultant.ru/document/cons_doc_LAW_339334/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1B0D"/>
    <w:multiLevelType w:val="multilevel"/>
    <w:tmpl w:val="E686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BA2D97"/>
    <w:multiLevelType w:val="hybridMultilevel"/>
    <w:tmpl w:val="52422D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C65085"/>
    <w:multiLevelType w:val="multilevel"/>
    <w:tmpl w:val="7EFC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A62BE3"/>
    <w:multiLevelType w:val="multilevel"/>
    <w:tmpl w:val="5096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2A52"/>
    <w:multiLevelType w:val="multilevel"/>
    <w:tmpl w:val="B058C8B4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286F7B"/>
    <w:multiLevelType w:val="multilevel"/>
    <w:tmpl w:val="3A1C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6F540C"/>
    <w:multiLevelType w:val="hybridMultilevel"/>
    <w:tmpl w:val="2ECCA8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D321E05"/>
    <w:multiLevelType w:val="multilevel"/>
    <w:tmpl w:val="C052A1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894A6E"/>
    <w:multiLevelType w:val="hybridMultilevel"/>
    <w:tmpl w:val="4AA4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81E31"/>
    <w:multiLevelType w:val="hybridMultilevel"/>
    <w:tmpl w:val="A670AFC2"/>
    <w:lvl w:ilvl="0" w:tplc="54EA2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3D5D4E21"/>
    <w:multiLevelType w:val="hybridMultilevel"/>
    <w:tmpl w:val="28407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0C0B70"/>
    <w:multiLevelType w:val="multilevel"/>
    <w:tmpl w:val="0CBA7D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5D12C97"/>
    <w:multiLevelType w:val="multilevel"/>
    <w:tmpl w:val="AA306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8F6113"/>
    <w:multiLevelType w:val="hybridMultilevel"/>
    <w:tmpl w:val="CD72138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 w15:restartNumberingAfterBreak="0">
    <w:nsid w:val="4C4B1281"/>
    <w:multiLevelType w:val="multilevel"/>
    <w:tmpl w:val="44C25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6E2541"/>
    <w:multiLevelType w:val="multilevel"/>
    <w:tmpl w:val="E814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6F47749"/>
    <w:multiLevelType w:val="hybridMultilevel"/>
    <w:tmpl w:val="5A5AAB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F3D3C5C"/>
    <w:multiLevelType w:val="multilevel"/>
    <w:tmpl w:val="AD84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49F5003"/>
    <w:multiLevelType w:val="hybridMultilevel"/>
    <w:tmpl w:val="3536A52E"/>
    <w:lvl w:ilvl="0" w:tplc="701EC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6096C"/>
    <w:multiLevelType w:val="multilevel"/>
    <w:tmpl w:val="3CDC5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7B8042A0"/>
    <w:multiLevelType w:val="multilevel"/>
    <w:tmpl w:val="7F0C8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260C58"/>
    <w:multiLevelType w:val="hybridMultilevel"/>
    <w:tmpl w:val="6896C8D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8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2"/>
  </w:num>
  <w:num w:numId="9">
    <w:abstractNumId w:val="20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7"/>
  </w:num>
  <w:num w:numId="18">
    <w:abstractNumId w:val="6"/>
  </w:num>
  <w:num w:numId="19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15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296"/>
    <w:rsid w:val="00010389"/>
    <w:rsid w:val="000401EA"/>
    <w:rsid w:val="00051A0C"/>
    <w:rsid w:val="00053A9C"/>
    <w:rsid w:val="00067CCE"/>
    <w:rsid w:val="00080B22"/>
    <w:rsid w:val="000B3212"/>
    <w:rsid w:val="00110803"/>
    <w:rsid w:val="00135647"/>
    <w:rsid w:val="00156654"/>
    <w:rsid w:val="00176E99"/>
    <w:rsid w:val="0018022C"/>
    <w:rsid w:val="001B7147"/>
    <w:rsid w:val="001B78DE"/>
    <w:rsid w:val="001D6213"/>
    <w:rsid w:val="001E4921"/>
    <w:rsid w:val="00224AA3"/>
    <w:rsid w:val="002579AD"/>
    <w:rsid w:val="00281ACA"/>
    <w:rsid w:val="00286155"/>
    <w:rsid w:val="002A292D"/>
    <w:rsid w:val="002D666D"/>
    <w:rsid w:val="002E700E"/>
    <w:rsid w:val="003003AC"/>
    <w:rsid w:val="00302296"/>
    <w:rsid w:val="00302C12"/>
    <w:rsid w:val="00325CE0"/>
    <w:rsid w:val="00327630"/>
    <w:rsid w:val="003661C7"/>
    <w:rsid w:val="00377F00"/>
    <w:rsid w:val="0038103E"/>
    <w:rsid w:val="0038254F"/>
    <w:rsid w:val="00384B8E"/>
    <w:rsid w:val="0039002D"/>
    <w:rsid w:val="003977BF"/>
    <w:rsid w:val="003A4B5D"/>
    <w:rsid w:val="003A769B"/>
    <w:rsid w:val="003B166A"/>
    <w:rsid w:val="003E5E38"/>
    <w:rsid w:val="00411060"/>
    <w:rsid w:val="00451ED5"/>
    <w:rsid w:val="00452E69"/>
    <w:rsid w:val="00477322"/>
    <w:rsid w:val="00496806"/>
    <w:rsid w:val="004A30CD"/>
    <w:rsid w:val="004B6D62"/>
    <w:rsid w:val="004E08D4"/>
    <w:rsid w:val="004E78B3"/>
    <w:rsid w:val="004F7EE3"/>
    <w:rsid w:val="00545A4A"/>
    <w:rsid w:val="00571CE6"/>
    <w:rsid w:val="00575A6D"/>
    <w:rsid w:val="00576739"/>
    <w:rsid w:val="005816F6"/>
    <w:rsid w:val="00585316"/>
    <w:rsid w:val="005C1BD1"/>
    <w:rsid w:val="005D2DF8"/>
    <w:rsid w:val="006036EA"/>
    <w:rsid w:val="006040B8"/>
    <w:rsid w:val="00654954"/>
    <w:rsid w:val="006658A7"/>
    <w:rsid w:val="0067381B"/>
    <w:rsid w:val="006A00F5"/>
    <w:rsid w:val="006B7F2C"/>
    <w:rsid w:val="006C194C"/>
    <w:rsid w:val="00721E52"/>
    <w:rsid w:val="007355F1"/>
    <w:rsid w:val="00775AD0"/>
    <w:rsid w:val="00783DAE"/>
    <w:rsid w:val="00783FAC"/>
    <w:rsid w:val="007B3C75"/>
    <w:rsid w:val="007D20F1"/>
    <w:rsid w:val="007D2D6A"/>
    <w:rsid w:val="007D2E21"/>
    <w:rsid w:val="007E3844"/>
    <w:rsid w:val="00817401"/>
    <w:rsid w:val="00855BB9"/>
    <w:rsid w:val="00855BD6"/>
    <w:rsid w:val="00866B98"/>
    <w:rsid w:val="008A5848"/>
    <w:rsid w:val="008D007F"/>
    <w:rsid w:val="008D01BC"/>
    <w:rsid w:val="008F052E"/>
    <w:rsid w:val="0090054F"/>
    <w:rsid w:val="00904479"/>
    <w:rsid w:val="009113A6"/>
    <w:rsid w:val="009171FB"/>
    <w:rsid w:val="00933C56"/>
    <w:rsid w:val="00947A71"/>
    <w:rsid w:val="00970EB2"/>
    <w:rsid w:val="00970F6A"/>
    <w:rsid w:val="00972503"/>
    <w:rsid w:val="00995839"/>
    <w:rsid w:val="009F7947"/>
    <w:rsid w:val="00A049C2"/>
    <w:rsid w:val="00A47B73"/>
    <w:rsid w:val="00A85D01"/>
    <w:rsid w:val="00AB5E12"/>
    <w:rsid w:val="00AB74FA"/>
    <w:rsid w:val="00AC76B0"/>
    <w:rsid w:val="00AD1894"/>
    <w:rsid w:val="00AD7EF5"/>
    <w:rsid w:val="00B2738D"/>
    <w:rsid w:val="00B53229"/>
    <w:rsid w:val="00B81361"/>
    <w:rsid w:val="00BE292D"/>
    <w:rsid w:val="00BE3B99"/>
    <w:rsid w:val="00C13AF0"/>
    <w:rsid w:val="00C4324D"/>
    <w:rsid w:val="00C45E3D"/>
    <w:rsid w:val="00C51637"/>
    <w:rsid w:val="00CA0B13"/>
    <w:rsid w:val="00CC3BF3"/>
    <w:rsid w:val="00CE0370"/>
    <w:rsid w:val="00CF25B5"/>
    <w:rsid w:val="00CF2F8D"/>
    <w:rsid w:val="00D44251"/>
    <w:rsid w:val="00D513EF"/>
    <w:rsid w:val="00D645F2"/>
    <w:rsid w:val="00D95AA3"/>
    <w:rsid w:val="00DB6D34"/>
    <w:rsid w:val="00DC2351"/>
    <w:rsid w:val="00DE5564"/>
    <w:rsid w:val="00E0006E"/>
    <w:rsid w:val="00E03C1E"/>
    <w:rsid w:val="00E07782"/>
    <w:rsid w:val="00E238D0"/>
    <w:rsid w:val="00E30436"/>
    <w:rsid w:val="00E414B4"/>
    <w:rsid w:val="00E42374"/>
    <w:rsid w:val="00E463CE"/>
    <w:rsid w:val="00E6658B"/>
    <w:rsid w:val="00E735AB"/>
    <w:rsid w:val="00EA6495"/>
    <w:rsid w:val="00EB772D"/>
    <w:rsid w:val="00EE2A00"/>
    <w:rsid w:val="00EE6DE5"/>
    <w:rsid w:val="00F140A6"/>
    <w:rsid w:val="00F34963"/>
    <w:rsid w:val="00F5382C"/>
    <w:rsid w:val="00F6672D"/>
    <w:rsid w:val="00F66F45"/>
    <w:rsid w:val="00F82D08"/>
    <w:rsid w:val="00FA39A9"/>
    <w:rsid w:val="00FE50B7"/>
    <w:rsid w:val="00FF7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49AFA-1AFA-446C-8A29-C0ECC99E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F2C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character" w:styleId="af0">
    <w:name w:val="footnote reference"/>
    <w:aliases w:val="Знак сноски 1,Знак сноски-FN,Ciae niinee-FN,Referencia nota al pie,fr,Used by Word for Help footnote symbols,Ciae niinee 1"/>
    <w:semiHidden/>
    <w:rsid w:val="00972503"/>
    <w:rPr>
      <w:vertAlign w:val="superscript"/>
    </w:rPr>
  </w:style>
  <w:style w:type="paragraph" w:styleId="af1">
    <w:name w:val="footnote text"/>
    <w:aliases w:val="Текст сноски Знак Знак Char,Texto de nota al pie Char,Texto de nota al pie,Текст сноски Знак Знак Char Char,Schriftart: 9 pt,Schriftart: 10 pt,Schriftart: 8 pt,single space,Текст сноски Знак1 Знак,Текст сноски-FN,fn"/>
    <w:basedOn w:val="a"/>
    <w:link w:val="14"/>
    <w:semiHidden/>
    <w:rsid w:val="0097250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semiHidden/>
    <w:rsid w:val="00972503"/>
  </w:style>
  <w:style w:type="character" w:customStyle="1" w:styleId="14">
    <w:name w:val="Текст сноски Знак1"/>
    <w:aliases w:val="Текст сноски Знак Знак Char Знак,Texto de nota al pie Char Знак,Texto de nota al pie Знак,Текст сноски Знак Знак Char Char Знак,Schriftart: 9 pt Знак,Schriftart: 10 pt Знак,Schriftart: 8 pt Знак,single space Знак,Текст сноски-FN Знак"/>
    <w:link w:val="af1"/>
    <w:semiHidden/>
    <w:locked/>
    <w:rsid w:val="0097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Отделение общественных наук РАН</vt:lpstr>
    </vt:vector>
  </TitlesOfParts>
  <Company>Grizli777</Company>
  <LinksUpToDate>false</LinksUpToDate>
  <CharactersWithSpaces>14509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Отделение общественных наук РАН</dc:title>
  <dc:creator>Plecon</dc:creator>
  <cp:lastModifiedBy>Воронова Полина Александровна</cp:lastModifiedBy>
  <cp:revision>8</cp:revision>
  <cp:lastPrinted>2018-05-14T14:11:00Z</cp:lastPrinted>
  <dcterms:created xsi:type="dcterms:W3CDTF">2020-06-29T06:48:00Z</dcterms:created>
  <dcterms:modified xsi:type="dcterms:W3CDTF">2020-10-03T11:24:00Z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1049-10.1.0.5503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